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2110FE" w:rsidRDefault="002110FE">
      <w:pPr>
        <w:rPr>
          <w:b/>
        </w:rPr>
      </w:pPr>
      <w:r w:rsidRPr="002110FE">
        <w:rPr>
          <w:b/>
        </w:rPr>
        <w:t xml:space="preserve">VNR: </w:t>
      </w:r>
      <w:bookmarkStart w:id="0" w:name="_GoBack"/>
      <w:r w:rsidRPr="002110FE">
        <w:rPr>
          <w:b/>
        </w:rPr>
        <w:t>Explanation for the difference in profit after tax of QIV.2015 (Consolidated)</w:t>
      </w:r>
      <w:bookmarkEnd w:id="0"/>
    </w:p>
    <w:p w:rsidR="002110FE" w:rsidRDefault="002110FE">
      <w:r>
        <w:t xml:space="preserve">On 01/02/2016, </w:t>
      </w:r>
      <w:r w:rsidRPr="002110FE">
        <w:t>Vietnam National Reinsurance Corporation</w:t>
      </w:r>
      <w:r>
        <w:t xml:space="preserve"> explained the difference in profit after tax of QIV.2015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110FE" w:rsidTr="002110FE">
        <w:tc>
          <w:tcPr>
            <w:tcW w:w="1870" w:type="dxa"/>
          </w:tcPr>
          <w:p w:rsidR="002110FE" w:rsidRDefault="002110FE">
            <w:r>
              <w:t>Targets</w:t>
            </w:r>
          </w:p>
        </w:tc>
        <w:tc>
          <w:tcPr>
            <w:tcW w:w="1870" w:type="dxa"/>
          </w:tcPr>
          <w:p w:rsidR="002110FE" w:rsidRDefault="002110FE">
            <w:r>
              <w:t>QIV.2015</w:t>
            </w:r>
          </w:p>
        </w:tc>
        <w:tc>
          <w:tcPr>
            <w:tcW w:w="1870" w:type="dxa"/>
          </w:tcPr>
          <w:p w:rsidR="002110FE" w:rsidRDefault="002110FE">
            <w:r>
              <w:t>QIV.2014</w:t>
            </w:r>
          </w:p>
        </w:tc>
        <w:tc>
          <w:tcPr>
            <w:tcW w:w="1870" w:type="dxa"/>
          </w:tcPr>
          <w:p w:rsidR="002110FE" w:rsidRDefault="002110FE">
            <w:r>
              <w:t xml:space="preserve">Difference </w:t>
            </w:r>
          </w:p>
        </w:tc>
        <w:tc>
          <w:tcPr>
            <w:tcW w:w="1870" w:type="dxa"/>
          </w:tcPr>
          <w:p w:rsidR="002110FE" w:rsidRDefault="002110FE">
            <w:r>
              <w:t>Rate (%)</w:t>
            </w:r>
          </w:p>
        </w:tc>
      </w:tr>
      <w:tr w:rsidR="002110FE" w:rsidTr="002110FE">
        <w:tc>
          <w:tcPr>
            <w:tcW w:w="1870" w:type="dxa"/>
          </w:tcPr>
          <w:p w:rsidR="002110FE" w:rsidRDefault="002110FE">
            <w:r>
              <w:t>Profit after tax</w:t>
            </w:r>
          </w:p>
        </w:tc>
        <w:tc>
          <w:tcPr>
            <w:tcW w:w="1870" w:type="dxa"/>
          </w:tcPr>
          <w:p w:rsidR="002110FE" w:rsidRDefault="002110FE">
            <w:r>
              <w:t>48.9</w:t>
            </w:r>
          </w:p>
        </w:tc>
        <w:tc>
          <w:tcPr>
            <w:tcW w:w="1870" w:type="dxa"/>
          </w:tcPr>
          <w:p w:rsidR="002110FE" w:rsidRDefault="002110FE">
            <w:r>
              <w:t>65.3</w:t>
            </w:r>
          </w:p>
        </w:tc>
        <w:tc>
          <w:tcPr>
            <w:tcW w:w="1870" w:type="dxa"/>
          </w:tcPr>
          <w:p w:rsidR="002110FE" w:rsidRDefault="002110FE">
            <w:r>
              <w:t>(16.4)</w:t>
            </w:r>
          </w:p>
        </w:tc>
        <w:tc>
          <w:tcPr>
            <w:tcW w:w="1870" w:type="dxa"/>
          </w:tcPr>
          <w:p w:rsidR="002110FE" w:rsidRDefault="002110FE">
            <w:r>
              <w:t>-25.1%</w:t>
            </w:r>
          </w:p>
        </w:tc>
      </w:tr>
    </w:tbl>
    <w:p w:rsidR="002110FE" w:rsidRDefault="002110FE">
      <w:r>
        <w:t>Explanation:</w:t>
      </w:r>
    </w:p>
    <w:p w:rsidR="002110FE" w:rsidRDefault="002110FE">
      <w:r>
        <w:t>Profit after tax of Holding Company increased by VND 0.1 billion</w:t>
      </w:r>
    </w:p>
    <w:p w:rsidR="002110FE" w:rsidRDefault="002110FE">
      <w:r>
        <w:t>Profit after tax of Subsidiary decreased by VND 3.2 billion</w:t>
      </w:r>
    </w:p>
    <w:p w:rsidR="002110FE" w:rsidRDefault="002110FE">
      <w:r>
        <w:t>Net profit from associated companies decreased by VND 15.3 billion (due to the change in holding rate of VINARE at SVI)</w:t>
      </w:r>
    </w:p>
    <w:p w:rsidR="002110FE" w:rsidRDefault="002110FE">
      <w:r>
        <w:t>The Company excluded the writing back from provision for diminution of the investment in subsidiary when consolidating Financial Statement. Therefore, the income increased by VND 2 billion</w:t>
      </w:r>
    </w:p>
    <w:sectPr w:rsidR="00211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FE"/>
    <w:rsid w:val="002110FE"/>
    <w:rsid w:val="007263D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D6C97-3267-46F1-B851-86156827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2016-02-03T08:20:00Z</dcterms:created>
  <dcterms:modified xsi:type="dcterms:W3CDTF">2016-02-03T08:25:00Z</dcterms:modified>
</cp:coreProperties>
</file>